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40" w:rsidRDefault="00E53A6B" w:rsidP="00A2321D">
      <w:pPr>
        <w:pStyle w:val="Titre2"/>
        <w:rPr>
          <w:sz w:val="28"/>
          <w:szCs w:val="28"/>
          <w:u w:val="single"/>
        </w:rPr>
      </w:pPr>
      <w:r>
        <w:rPr>
          <w:sz w:val="28"/>
          <w:szCs w:val="28"/>
          <w:u w:val="single"/>
        </w:rPr>
        <w:t>ASSURANCE DES EMPRUNTEURS : LES DERNIERES ACTUALITES</w:t>
      </w:r>
    </w:p>
    <w:p w:rsidR="00F7212F" w:rsidRDefault="00F7212F" w:rsidP="00A2321D"/>
    <w:p w:rsidR="00B101F5" w:rsidRDefault="00821B58" w:rsidP="008E2F9D">
      <w:r>
        <w:t xml:space="preserve">Lors d’un emprunt auprès d’un établissement de crédit, les </w:t>
      </w:r>
      <w:r w:rsidR="007C0538">
        <w:t>clients</w:t>
      </w:r>
      <w:r>
        <w:t xml:space="preserve"> </w:t>
      </w:r>
      <w:r w:rsidR="002D22BA">
        <w:t xml:space="preserve">souscrivent à une assurance </w:t>
      </w:r>
      <w:r>
        <w:t xml:space="preserve">: </w:t>
      </w:r>
      <w:r w:rsidRPr="00712056">
        <w:rPr>
          <w:b/>
        </w:rPr>
        <w:t xml:space="preserve">L’Assurance Des </w:t>
      </w:r>
      <w:r w:rsidR="005C722E" w:rsidRPr="00712056">
        <w:rPr>
          <w:b/>
        </w:rPr>
        <w:t>Emprunteurs</w:t>
      </w:r>
      <w:r w:rsidR="005C722E">
        <w:t xml:space="preserve">. </w:t>
      </w:r>
      <w:r w:rsidR="007C0538">
        <w:t xml:space="preserve">Bien que </w:t>
      </w:r>
      <w:r w:rsidR="007C0538">
        <w:t xml:space="preserve">sa souscription </w:t>
      </w:r>
      <w:r w:rsidR="007C0538">
        <w:t xml:space="preserve">ne soit soumise à aucune obligation légale, elle s’impose comme une condition </w:t>
      </w:r>
      <w:r w:rsidR="007C0538" w:rsidRPr="002D22BA">
        <w:rPr>
          <w:b/>
        </w:rPr>
        <w:t>nécessaire</w:t>
      </w:r>
      <w:r w:rsidR="007C0538">
        <w:t xml:space="preserve"> à la </w:t>
      </w:r>
      <w:r w:rsidR="007C0538">
        <w:t>signature</w:t>
      </w:r>
      <w:r w:rsidR="007C0538">
        <w:t xml:space="preserve"> d’un prêt immobilier.</w:t>
      </w:r>
    </w:p>
    <w:p w:rsidR="005C722E" w:rsidRDefault="005C722E" w:rsidP="008E2F9D"/>
    <w:p w:rsidR="00A2321D" w:rsidRDefault="005C722E" w:rsidP="008E2F9D">
      <w:r>
        <w:t>Cet</w:t>
      </w:r>
      <w:r w:rsidR="00F57FBF">
        <w:t xml:space="preserve"> article revient sur les principaux sujets qui </w:t>
      </w:r>
      <w:r>
        <w:t>ont fait</w:t>
      </w:r>
      <w:r w:rsidR="00F57FBF">
        <w:t xml:space="preserve"> l’actualité</w:t>
      </w:r>
      <w:r>
        <w:t xml:space="preserve"> récente</w:t>
      </w:r>
      <w:r w:rsidR="00F57FBF">
        <w:t xml:space="preserve"> en </w:t>
      </w:r>
      <w:r w:rsidR="00F57FBF" w:rsidRPr="00712056">
        <w:t>Assurance Des Emprunteurs</w:t>
      </w:r>
      <w:r w:rsidR="003211BE">
        <w:t>.</w:t>
      </w:r>
    </w:p>
    <w:p w:rsidR="007C0538" w:rsidRPr="008E2F9D" w:rsidRDefault="007C0538" w:rsidP="008E2F9D"/>
    <w:p w:rsidR="00637854" w:rsidRDefault="00637854" w:rsidP="008C368A">
      <w:pPr>
        <w:pStyle w:val="Paragraphedeliste"/>
        <w:numPr>
          <w:ilvl w:val="0"/>
          <w:numId w:val="3"/>
        </w:numPr>
        <w:jc w:val="both"/>
        <w:rPr>
          <w:b/>
          <w:u w:val="single"/>
        </w:rPr>
      </w:pPr>
      <w:r w:rsidRPr="00637854">
        <w:rPr>
          <w:b/>
          <w:u w:val="single"/>
        </w:rPr>
        <w:t>La Participation aux Bénéfices :</w:t>
      </w:r>
      <w:r w:rsidR="00EA0C41">
        <w:rPr>
          <w:b/>
          <w:u w:val="single"/>
        </w:rPr>
        <w:t xml:space="preserve"> Une</w:t>
      </w:r>
      <w:r w:rsidRPr="00637854">
        <w:rPr>
          <w:b/>
          <w:u w:val="single"/>
        </w:rPr>
        <w:t xml:space="preserve"> </w:t>
      </w:r>
      <w:r>
        <w:rPr>
          <w:b/>
          <w:u w:val="single"/>
        </w:rPr>
        <w:t>décision importante prise par la cour d’appel de Paris</w:t>
      </w:r>
    </w:p>
    <w:p w:rsidR="00637854" w:rsidRPr="00637854" w:rsidRDefault="00637854" w:rsidP="008C368A">
      <w:pPr>
        <w:pStyle w:val="Paragraphedeliste"/>
        <w:ind w:left="360"/>
        <w:jc w:val="both"/>
        <w:rPr>
          <w:b/>
          <w:u w:val="single"/>
        </w:rPr>
      </w:pPr>
    </w:p>
    <w:p w:rsidR="003D7E60" w:rsidRPr="003D7E60" w:rsidRDefault="00637854" w:rsidP="008C368A">
      <w:pPr>
        <w:pStyle w:val="Paragraphedeliste"/>
        <w:numPr>
          <w:ilvl w:val="0"/>
          <w:numId w:val="4"/>
        </w:numPr>
        <w:jc w:val="both"/>
        <w:rPr>
          <w:b/>
          <w:u w:val="single"/>
        </w:rPr>
      </w:pPr>
      <w:r>
        <w:rPr>
          <w:b/>
          <w:u w:val="single"/>
        </w:rPr>
        <w:t>Rappel du contexte</w:t>
      </w:r>
    </w:p>
    <w:p w:rsidR="00E53A6B" w:rsidRDefault="000E5B73" w:rsidP="008C368A">
      <w:pPr>
        <w:jc w:val="both"/>
      </w:pPr>
      <w:r>
        <w:t xml:space="preserve">La participation aux bénéfices constitue un </w:t>
      </w:r>
      <w:r w:rsidR="003D7E60">
        <w:t>enjeu majeur</w:t>
      </w:r>
      <w:r>
        <w:t xml:space="preserve"> en Assurance Des Emprunteurs.</w:t>
      </w:r>
      <w:r w:rsidR="006E4C15">
        <w:t xml:space="preserve"> </w:t>
      </w:r>
      <w:r w:rsidR="003D7E60">
        <w:t xml:space="preserve">En effet, </w:t>
      </w:r>
      <w:r w:rsidR="00BF12C1">
        <w:t>ces garanties génèren</w:t>
      </w:r>
      <w:r w:rsidR="00EB7B68">
        <w:t xml:space="preserve">t </w:t>
      </w:r>
      <w:r w:rsidR="003D7E60">
        <w:t>d</w:t>
      </w:r>
      <w:r w:rsidR="00BF12C1">
        <w:t>’</w:t>
      </w:r>
      <w:r w:rsidR="003D7E60">
        <w:t xml:space="preserve">importants </w:t>
      </w:r>
      <w:r w:rsidR="00BF12C1">
        <w:t>bénéfices pour l’assureur. Toutefois</w:t>
      </w:r>
      <w:r w:rsidR="00EB7B68">
        <w:t>,</w:t>
      </w:r>
      <w:r w:rsidR="00BF12C1">
        <w:t xml:space="preserve"> </w:t>
      </w:r>
      <w:r w:rsidR="003D7E60">
        <w:t>ceux-ci font l’objet</w:t>
      </w:r>
      <w:r w:rsidR="00EA0C41">
        <w:t xml:space="preserve"> de nombreuses</w:t>
      </w:r>
      <w:r w:rsidR="002A27AF">
        <w:t xml:space="preserve"> </w:t>
      </w:r>
      <w:r w:rsidR="00EA0C41">
        <w:t>controverses</w:t>
      </w:r>
      <w:r w:rsidR="002A27AF">
        <w:t>.</w:t>
      </w:r>
    </w:p>
    <w:p w:rsidR="0038409F" w:rsidRDefault="00152423" w:rsidP="008C368A">
      <w:pPr>
        <w:jc w:val="both"/>
      </w:pPr>
      <w:r>
        <w:t xml:space="preserve">D’après </w:t>
      </w:r>
      <w:r w:rsidRPr="00152423">
        <w:rPr>
          <w:iCs/>
        </w:rPr>
        <w:t>l’article L</w:t>
      </w:r>
      <w:r>
        <w:rPr>
          <w:iCs/>
        </w:rPr>
        <w:t xml:space="preserve"> </w:t>
      </w:r>
      <w:r w:rsidRPr="00152423">
        <w:rPr>
          <w:iCs/>
        </w:rPr>
        <w:t>331-3</w:t>
      </w:r>
      <w:r>
        <w:rPr>
          <w:i/>
          <w:iCs/>
        </w:rPr>
        <w:t xml:space="preserve"> du </w:t>
      </w:r>
      <w:r w:rsidRPr="00152423">
        <w:rPr>
          <w:i/>
          <w:iCs/>
          <w:u w:val="single"/>
        </w:rPr>
        <w:t>Code des assurances</w:t>
      </w:r>
      <w:r>
        <w:rPr>
          <w:i/>
          <w:iCs/>
        </w:rPr>
        <w:t xml:space="preserve"> </w:t>
      </w:r>
      <w:r>
        <w:t xml:space="preserve">: « </w:t>
      </w:r>
      <w:r>
        <w:rPr>
          <w:i/>
          <w:iCs/>
        </w:rPr>
        <w:t xml:space="preserve">Les entreprises d'assurance sur la vie ou de capitalisation doivent faire participer les assurés aux bénéfices techniques et financiers qu'elles réalisent, dans les conditions fixées par arrêté du ministre de l'économie et des finances </w:t>
      </w:r>
      <w:r>
        <w:t>».</w:t>
      </w:r>
    </w:p>
    <w:p w:rsidR="00566B9E" w:rsidRDefault="00152423" w:rsidP="008C368A">
      <w:pPr>
        <w:jc w:val="both"/>
      </w:pPr>
      <w:r>
        <w:t xml:space="preserve">Ainsi, jusqu’en 2007, les contrats emprunteurs, </w:t>
      </w:r>
      <w:r w:rsidRPr="00A60961">
        <w:rPr>
          <w:b/>
        </w:rPr>
        <w:t>considérés comme des contrats</w:t>
      </w:r>
      <w:r w:rsidR="00566B9E" w:rsidRPr="00A60961">
        <w:rPr>
          <w:b/>
        </w:rPr>
        <w:t xml:space="preserve"> collectifs décès</w:t>
      </w:r>
      <w:r w:rsidR="00566B9E">
        <w:t>,</w:t>
      </w:r>
      <w:r>
        <w:t xml:space="preserve"> </w:t>
      </w:r>
      <w:r w:rsidR="00566B9E">
        <w:t xml:space="preserve">étaient </w:t>
      </w:r>
      <w:r w:rsidR="00566B9E" w:rsidRPr="00A60961">
        <w:rPr>
          <w:b/>
        </w:rPr>
        <w:t>exclus</w:t>
      </w:r>
      <w:r w:rsidR="00566B9E">
        <w:t xml:space="preserve"> de la participation aux bénéfices </w:t>
      </w:r>
      <w:r w:rsidR="00BF12C1">
        <w:t>restituée</w:t>
      </w:r>
      <w:r w:rsidR="00566B9E">
        <w:t xml:space="preserve"> aux assurés. Ces bénéfices </w:t>
      </w:r>
      <w:r w:rsidR="00D05D82">
        <w:t xml:space="preserve">étaient reversés </w:t>
      </w:r>
      <w:r w:rsidR="00BF12C1">
        <w:t xml:space="preserve">en grande partie </w:t>
      </w:r>
      <w:r w:rsidR="00566B9E">
        <w:t xml:space="preserve">aux </w:t>
      </w:r>
      <w:r w:rsidR="00566B9E" w:rsidRPr="00A60961">
        <w:rPr>
          <w:b/>
        </w:rPr>
        <w:t>réseaux de distribution</w:t>
      </w:r>
      <w:r w:rsidR="00566B9E">
        <w:t xml:space="preserve"> et principalement aux </w:t>
      </w:r>
      <w:r w:rsidR="00566B9E" w:rsidRPr="00A60961">
        <w:rPr>
          <w:b/>
        </w:rPr>
        <w:t>banques</w:t>
      </w:r>
      <w:r w:rsidR="00566B9E">
        <w:t>.</w:t>
      </w:r>
    </w:p>
    <w:p w:rsidR="00566B9E" w:rsidRDefault="00566B9E" w:rsidP="008C368A">
      <w:pPr>
        <w:jc w:val="both"/>
      </w:pPr>
      <w:r>
        <w:t xml:space="preserve">Le 23 Avril 2007, un arrêté a été adopté modifiant l’article L331-1 en supprimant l’exclusion des contrats collectifs décès à la participation aux bénéfices. Cet arrêté a donc permis de </w:t>
      </w:r>
      <w:r w:rsidRPr="00A60961">
        <w:rPr>
          <w:b/>
        </w:rPr>
        <w:t>réintégrer la participation aux bénéfices des assuré</w:t>
      </w:r>
      <w:r w:rsidR="00EC0F12" w:rsidRPr="00A60961">
        <w:rPr>
          <w:b/>
        </w:rPr>
        <w:t>s pour les contrats emprunteurs</w:t>
      </w:r>
      <w:r w:rsidR="00EC0F12">
        <w:t xml:space="preserve">, </w:t>
      </w:r>
      <w:r>
        <w:t>l’ancien texte a</w:t>
      </w:r>
      <w:r w:rsidR="00EC0F12">
        <w:t>yant</w:t>
      </w:r>
      <w:r>
        <w:t xml:space="preserve"> même été déclaré comme </w:t>
      </w:r>
      <w:r w:rsidRPr="00A60961">
        <w:rPr>
          <w:b/>
        </w:rPr>
        <w:t xml:space="preserve">illégal </w:t>
      </w:r>
      <w:r>
        <w:t xml:space="preserve">par un arrêt du conseil d’état </w:t>
      </w:r>
      <w:r w:rsidR="00A60961">
        <w:t>du</w:t>
      </w:r>
      <w:r>
        <w:t xml:space="preserve"> 23 Juillet 2012.</w:t>
      </w:r>
    </w:p>
    <w:p w:rsidR="00A64576" w:rsidRDefault="00566B9E" w:rsidP="008C368A">
      <w:pPr>
        <w:jc w:val="both"/>
      </w:pPr>
      <w:r>
        <w:t>Suite à cette décision, les assurés</w:t>
      </w:r>
      <w:r w:rsidR="00A64576">
        <w:t>, appuyés par l’association de consommateur UFC QUE CHOISIR,</w:t>
      </w:r>
      <w:r>
        <w:t xml:space="preserve"> </w:t>
      </w:r>
      <w:r w:rsidR="00A64576">
        <w:t>ont réclamé</w:t>
      </w:r>
      <w:r>
        <w:t xml:space="preserve"> la restitution d’une partie des bénéfices de leur assuran</w:t>
      </w:r>
      <w:r w:rsidR="00A64576">
        <w:t xml:space="preserve">ce de prêt. Cependant, après plusieurs </w:t>
      </w:r>
      <w:r>
        <w:t xml:space="preserve">assignations au </w:t>
      </w:r>
      <w:r w:rsidR="00180F40">
        <w:t>T</w:t>
      </w:r>
      <w:r w:rsidR="00A64576">
        <w:t xml:space="preserve">ribunal de </w:t>
      </w:r>
      <w:r w:rsidR="00180F40">
        <w:t>G</w:t>
      </w:r>
      <w:r w:rsidR="00A64576">
        <w:t xml:space="preserve">rande </w:t>
      </w:r>
      <w:r w:rsidR="00180F40">
        <w:t>I</w:t>
      </w:r>
      <w:r w:rsidR="00A64576">
        <w:t>nstance (TGI) de Paris</w:t>
      </w:r>
      <w:r>
        <w:t xml:space="preserve"> en septembre 2014 et mai 2015, </w:t>
      </w:r>
      <w:r w:rsidR="00A64576">
        <w:t>leur demande a été rejetée</w:t>
      </w:r>
      <w:r>
        <w:t>.</w:t>
      </w:r>
      <w:r w:rsidR="00A64576" w:rsidRPr="00A64576">
        <w:t xml:space="preserve"> </w:t>
      </w:r>
      <w:r w:rsidR="00A64576">
        <w:t xml:space="preserve">En effet, selon les juges, citant un récent arrêt de la Cour de Cassation du 5 mars 2015, le droit des assurés à la participation aux </w:t>
      </w:r>
      <w:r w:rsidR="00EA0C41">
        <w:t xml:space="preserve">bénéfices, </w:t>
      </w:r>
      <w:r w:rsidR="00EA0C41" w:rsidRPr="001D1986">
        <w:t>étant</w:t>
      </w:r>
      <w:r w:rsidR="00A64576" w:rsidRPr="00A60961">
        <w:rPr>
          <w:b/>
        </w:rPr>
        <w:t xml:space="preserve"> collectif </w:t>
      </w:r>
      <w:r w:rsidR="00A64576" w:rsidRPr="001D1986">
        <w:t>et</w:t>
      </w:r>
      <w:r w:rsidR="00A64576" w:rsidRPr="00A60961">
        <w:rPr>
          <w:b/>
        </w:rPr>
        <w:t xml:space="preserve"> non individuel</w:t>
      </w:r>
      <w:r w:rsidR="00A64576">
        <w:t xml:space="preserve">, ne permet pas à un emprunteur </w:t>
      </w:r>
      <w:r w:rsidR="00A64576" w:rsidRPr="00A60961">
        <w:rPr>
          <w:b/>
        </w:rPr>
        <w:t>isolé</w:t>
      </w:r>
      <w:r w:rsidR="00A64576">
        <w:t xml:space="preserve"> de réclamer sa part. Par ailleurs, il n’existe pas de règle de répartition pour attribuer une partie des bénéfices à tous les souscripteurs d’un même contrat, selon le jugement.</w:t>
      </w:r>
    </w:p>
    <w:p w:rsidR="009F5BB5" w:rsidRDefault="00180F40" w:rsidP="008C368A">
      <w:pPr>
        <w:pStyle w:val="Paragraphedeliste"/>
        <w:numPr>
          <w:ilvl w:val="0"/>
          <w:numId w:val="4"/>
        </w:numPr>
        <w:jc w:val="both"/>
        <w:rPr>
          <w:b/>
          <w:u w:val="single"/>
        </w:rPr>
      </w:pPr>
      <w:r>
        <w:rPr>
          <w:b/>
          <w:u w:val="single"/>
        </w:rPr>
        <w:t>La c</w:t>
      </w:r>
      <w:r w:rsidR="00A64576" w:rsidRPr="00A64576">
        <w:rPr>
          <w:b/>
          <w:u w:val="single"/>
        </w:rPr>
        <w:t xml:space="preserve">our d’appel de Paris révise le jugement du </w:t>
      </w:r>
      <w:r w:rsidR="00DB6F3F">
        <w:rPr>
          <w:b/>
          <w:u w:val="single"/>
        </w:rPr>
        <w:t>T</w:t>
      </w:r>
      <w:r w:rsidR="00215AD3">
        <w:rPr>
          <w:b/>
          <w:u w:val="single"/>
        </w:rPr>
        <w:t xml:space="preserve">ribunal de </w:t>
      </w:r>
      <w:r w:rsidR="00DB6F3F">
        <w:rPr>
          <w:b/>
          <w:u w:val="single"/>
        </w:rPr>
        <w:t>G</w:t>
      </w:r>
      <w:r w:rsidR="00215AD3">
        <w:rPr>
          <w:b/>
          <w:u w:val="single"/>
        </w:rPr>
        <w:t xml:space="preserve">rande </w:t>
      </w:r>
      <w:r w:rsidR="00DB6F3F">
        <w:rPr>
          <w:b/>
          <w:u w:val="single"/>
        </w:rPr>
        <w:t>I</w:t>
      </w:r>
      <w:r w:rsidR="00215AD3">
        <w:rPr>
          <w:b/>
          <w:u w:val="single"/>
        </w:rPr>
        <w:t>nstance (TGI)</w:t>
      </w:r>
    </w:p>
    <w:p w:rsidR="00215AD3" w:rsidRDefault="00EA0C41" w:rsidP="008C368A">
      <w:pPr>
        <w:jc w:val="both"/>
      </w:pPr>
      <w:r>
        <w:t xml:space="preserve">Cependant, cette affaire a connu </w:t>
      </w:r>
      <w:r w:rsidR="00F96B84">
        <w:t xml:space="preserve">récemment </w:t>
      </w:r>
      <w:r>
        <w:t>un nouveau rebondissement. En effet, l</w:t>
      </w:r>
      <w:r w:rsidR="00180F40">
        <w:t>a c</w:t>
      </w:r>
      <w:r w:rsidR="00215AD3">
        <w:t>our d’</w:t>
      </w:r>
      <w:r w:rsidR="00180F40">
        <w:t>a</w:t>
      </w:r>
      <w:r w:rsidR="00B504AA">
        <w:t>ppel de Paris, saisi</w:t>
      </w:r>
      <w:r w:rsidR="00180F40">
        <w:t>e</w:t>
      </w:r>
      <w:r w:rsidR="00B504AA">
        <w:t xml:space="preserve"> par les plaignants, a révisé </w:t>
      </w:r>
      <w:r w:rsidR="00F75A77">
        <w:t xml:space="preserve">le jugement du </w:t>
      </w:r>
      <w:r w:rsidR="00180F40">
        <w:t>TGI</w:t>
      </w:r>
      <w:r w:rsidR="00F75A77">
        <w:t xml:space="preserve"> dans son arrêt du 17 mai 2016 </w:t>
      </w:r>
      <w:r w:rsidR="00F44673">
        <w:t>rappelant les points suivants :</w:t>
      </w:r>
    </w:p>
    <w:p w:rsidR="00F44673" w:rsidRPr="00F44673" w:rsidRDefault="00F44673" w:rsidP="00A60961">
      <w:pPr>
        <w:pStyle w:val="Paragraphedeliste"/>
        <w:numPr>
          <w:ilvl w:val="0"/>
          <w:numId w:val="11"/>
        </w:numPr>
        <w:spacing w:after="0" w:line="270" w:lineRule="atLeast"/>
        <w:jc w:val="both"/>
        <w:textAlignment w:val="baseline"/>
      </w:pPr>
      <w:r w:rsidRPr="00F44673">
        <w:t xml:space="preserve">Les entreprises d’assurances sur la vie ou de capitalisation doivent faire </w:t>
      </w:r>
      <w:r w:rsidRPr="00A60961">
        <w:rPr>
          <w:b/>
        </w:rPr>
        <w:t>participer les assurés aux bénéfices techniques et financiers </w:t>
      </w:r>
      <w:r w:rsidRPr="00F44673">
        <w:t>qu’elles réalisent et l’assurance </w:t>
      </w:r>
      <w:r w:rsidR="00180F40">
        <w:t xml:space="preserve">des </w:t>
      </w:r>
      <w:r w:rsidRPr="00F44673">
        <w:t>emprunteur</w:t>
      </w:r>
      <w:r w:rsidR="00180F40">
        <w:t>s</w:t>
      </w:r>
      <w:r w:rsidRPr="00F44673">
        <w:t> ne peut être ex</w:t>
      </w:r>
      <w:r w:rsidR="001D1986">
        <w:t>clue de cette obligation légale.</w:t>
      </w:r>
    </w:p>
    <w:p w:rsidR="00F44673" w:rsidRPr="00F44673" w:rsidRDefault="00F44673" w:rsidP="00A60961">
      <w:pPr>
        <w:pStyle w:val="Paragraphedeliste"/>
        <w:numPr>
          <w:ilvl w:val="0"/>
          <w:numId w:val="11"/>
        </w:numPr>
        <w:spacing w:after="0" w:line="270" w:lineRule="atLeast"/>
        <w:jc w:val="both"/>
        <w:textAlignment w:val="baseline"/>
      </w:pPr>
      <w:r w:rsidRPr="00F44673">
        <w:lastRenderedPageBreak/>
        <w:t xml:space="preserve">La participation légale aux bénéfices techniques et financiers se fait </w:t>
      </w:r>
      <w:r w:rsidRPr="00A60961">
        <w:rPr>
          <w:b/>
        </w:rPr>
        <w:t>globalemen</w:t>
      </w:r>
      <w:r w:rsidRPr="00F44673">
        <w:t xml:space="preserve">t et non </w:t>
      </w:r>
      <w:r w:rsidRPr="00A60961">
        <w:rPr>
          <w:b/>
        </w:rPr>
        <w:t>contrat par contrat</w:t>
      </w:r>
      <w:r w:rsidRPr="00F44673">
        <w:t>, avec plusieurs possibilités de distribution offertes à l’assureur, immédiate ou différée</w:t>
      </w:r>
      <w:r w:rsidR="001D1986">
        <w:t>.</w:t>
      </w:r>
    </w:p>
    <w:p w:rsidR="00F44673" w:rsidRDefault="00F44673" w:rsidP="00A60961">
      <w:pPr>
        <w:pStyle w:val="Paragraphedeliste"/>
        <w:numPr>
          <w:ilvl w:val="0"/>
          <w:numId w:val="11"/>
        </w:numPr>
        <w:spacing w:after="0" w:line="270" w:lineRule="atLeast"/>
        <w:jc w:val="both"/>
        <w:textAlignment w:val="baseline"/>
      </w:pPr>
      <w:r w:rsidRPr="00F44673">
        <w:t xml:space="preserve">Ce droit de l’assureur </w:t>
      </w:r>
      <w:r w:rsidRPr="00A60961">
        <w:t>sur</w:t>
      </w:r>
      <w:r w:rsidRPr="00A60961">
        <w:rPr>
          <w:b/>
        </w:rPr>
        <w:t xml:space="preserve"> la répartition des bénéfices techniques et financiers ne peut conduire à leur attribution à ses partenaires commerciaux</w:t>
      </w:r>
      <w:r w:rsidRPr="00F44673">
        <w:t xml:space="preserve"> (une banque par exemple). Ces derniers ne peuvent être rémunérés que par des accords de partenariats contractuels et non au moyen de la participation légale qui doit revenir aux assurés</w:t>
      </w:r>
      <w:r>
        <w:t>.</w:t>
      </w:r>
    </w:p>
    <w:p w:rsidR="00F44673" w:rsidRDefault="00F44673" w:rsidP="008C368A">
      <w:pPr>
        <w:spacing w:after="0" w:line="270" w:lineRule="atLeast"/>
        <w:jc w:val="both"/>
        <w:textAlignment w:val="baseline"/>
      </w:pPr>
    </w:p>
    <w:p w:rsidR="00731142" w:rsidRDefault="00731142" w:rsidP="008C368A">
      <w:pPr>
        <w:spacing w:after="0" w:line="270" w:lineRule="atLeast"/>
        <w:jc w:val="both"/>
        <w:textAlignment w:val="baseline"/>
        <w:rPr>
          <w:i/>
        </w:rPr>
      </w:pPr>
      <w:r>
        <w:t xml:space="preserve">Les juges ont donc </w:t>
      </w:r>
      <w:r w:rsidR="00F96B84">
        <w:t>déclaré, pour la première fois, illégal</w:t>
      </w:r>
      <w:r w:rsidR="00180F40">
        <w:t>e</w:t>
      </w:r>
      <w:r>
        <w:t xml:space="preserve"> la distribution des bénéfices aux établissements bancaires conformément à </w:t>
      </w:r>
      <w:r w:rsidRPr="00A0414C">
        <w:t xml:space="preserve">l’article L 331-3 du </w:t>
      </w:r>
      <w:r w:rsidRPr="00180F40">
        <w:rPr>
          <w:i/>
          <w:u w:val="single"/>
        </w:rPr>
        <w:t xml:space="preserve">Code des </w:t>
      </w:r>
      <w:r w:rsidR="00180F40" w:rsidRPr="00180F40">
        <w:rPr>
          <w:i/>
          <w:u w:val="single"/>
        </w:rPr>
        <w:t>a</w:t>
      </w:r>
      <w:r w:rsidR="007637CF" w:rsidRPr="00180F40">
        <w:rPr>
          <w:i/>
          <w:u w:val="single"/>
        </w:rPr>
        <w:t>ssurances</w:t>
      </w:r>
      <w:r w:rsidR="007637CF">
        <w:t xml:space="preserve">, </w:t>
      </w:r>
      <w:r w:rsidRPr="00163A81">
        <w:t>« </w:t>
      </w:r>
      <w:r w:rsidRPr="00163A81">
        <w:rPr>
          <w:i/>
        </w:rPr>
        <w:t>l’assureur ne pouvant détourner les bénéfices techniques et financiers au profit de l’un de ses prestataires, alors que ceux-ci sont r</w:t>
      </w:r>
      <w:r w:rsidR="00163A81">
        <w:rPr>
          <w:i/>
        </w:rPr>
        <w:t>éservés aux assurés-emprunteurs</w:t>
      </w:r>
      <w:r w:rsidRPr="00163A81">
        <w:rPr>
          <w:i/>
        </w:rPr>
        <w:t> »</w:t>
      </w:r>
      <w:r w:rsidR="00163A81">
        <w:rPr>
          <w:i/>
        </w:rPr>
        <w:t>.</w:t>
      </w:r>
    </w:p>
    <w:p w:rsidR="00ED62B3" w:rsidRDefault="00ED62B3" w:rsidP="008C368A">
      <w:pPr>
        <w:spacing w:after="0" w:line="270" w:lineRule="atLeast"/>
        <w:jc w:val="both"/>
        <w:textAlignment w:val="baseline"/>
      </w:pPr>
    </w:p>
    <w:p w:rsidR="009C26DB" w:rsidRDefault="003A434D" w:rsidP="009C26DB">
      <w:pPr>
        <w:spacing w:after="0" w:line="270" w:lineRule="atLeast"/>
        <w:jc w:val="both"/>
        <w:textAlignment w:val="baseline"/>
      </w:pPr>
      <w:r>
        <w:t>Il s’agit de la première fois qu’assureur et banquier</w:t>
      </w:r>
      <w:r w:rsidR="00672672">
        <w:t>s</w:t>
      </w:r>
      <w:r>
        <w:t xml:space="preserve"> sont condamnés dans une affaire de distribution de participation aux bénéfices. Cette condamnation pourrait </w:t>
      </w:r>
      <w:r w:rsidR="00672672">
        <w:t xml:space="preserve">d’ailleurs </w:t>
      </w:r>
      <w:r>
        <w:t>en appeler de nombreuses autres, la cour d’appel ayant considéré qu’il faill</w:t>
      </w:r>
      <w:r w:rsidR="007C0538">
        <w:t>ait</w:t>
      </w:r>
      <w:r>
        <w:t xml:space="preserve"> mener une campagne de communication </w:t>
      </w:r>
      <w:r w:rsidR="00670A69">
        <w:t>face à</w:t>
      </w:r>
      <w:r>
        <w:t xml:space="preserve"> cette dérive.</w:t>
      </w:r>
      <w:r w:rsidR="009C26DB">
        <w:t xml:space="preserve"> </w:t>
      </w:r>
    </w:p>
    <w:p w:rsidR="00670A69" w:rsidRDefault="00ED62B3" w:rsidP="009C26DB">
      <w:pPr>
        <w:spacing w:after="0" w:line="270" w:lineRule="atLeast"/>
        <w:jc w:val="both"/>
        <w:textAlignment w:val="baseline"/>
      </w:pPr>
      <w:r>
        <w:t>Cependant, la situation reste assez obscure quant au devenir de cette participation aux bénéfices. Celle-ci ne peut, en effet, être reversé</w:t>
      </w:r>
      <w:r w:rsidR="00923E0C">
        <w:t>e</w:t>
      </w:r>
      <w:r>
        <w:t xml:space="preserve"> ni aux banques, ni aux assurés emprunteurs. Les auto</w:t>
      </w:r>
      <w:r w:rsidR="00672672">
        <w:t xml:space="preserve">rités </w:t>
      </w:r>
      <w:r w:rsidR="003211BE">
        <w:t xml:space="preserve">publiques </w:t>
      </w:r>
      <w:r w:rsidR="00672672">
        <w:t>vont donc devoir clarifier cette situation</w:t>
      </w:r>
      <w:r>
        <w:t>.</w:t>
      </w:r>
    </w:p>
    <w:p w:rsidR="009C26DB" w:rsidRPr="00FF6309" w:rsidRDefault="009C26DB" w:rsidP="009C26DB">
      <w:pPr>
        <w:spacing w:after="0" w:line="270" w:lineRule="atLeast"/>
        <w:jc w:val="both"/>
        <w:textAlignment w:val="baseline"/>
      </w:pPr>
    </w:p>
    <w:p w:rsidR="00F75A77" w:rsidRPr="00975E5E" w:rsidRDefault="00EE434D" w:rsidP="008C368A">
      <w:pPr>
        <w:pStyle w:val="Paragraphedeliste"/>
        <w:numPr>
          <w:ilvl w:val="0"/>
          <w:numId w:val="3"/>
        </w:numPr>
        <w:jc w:val="both"/>
        <w:rPr>
          <w:b/>
          <w:u w:val="single"/>
        </w:rPr>
      </w:pPr>
      <w:r w:rsidRPr="00975E5E">
        <w:rPr>
          <w:b/>
          <w:u w:val="single"/>
        </w:rPr>
        <w:t>La délégation d’assurance ne décolle pas</w:t>
      </w:r>
    </w:p>
    <w:p w:rsidR="00974CE6" w:rsidRDefault="00974CE6" w:rsidP="008C368A">
      <w:pPr>
        <w:pStyle w:val="Paragraphedeliste"/>
        <w:ind w:left="360"/>
        <w:jc w:val="both"/>
        <w:rPr>
          <w:b/>
        </w:rPr>
      </w:pPr>
    </w:p>
    <w:p w:rsidR="00411589" w:rsidRDefault="00974CE6" w:rsidP="008C368A">
      <w:pPr>
        <w:pStyle w:val="Paragraphedeliste"/>
        <w:numPr>
          <w:ilvl w:val="0"/>
          <w:numId w:val="4"/>
        </w:numPr>
        <w:jc w:val="both"/>
        <w:rPr>
          <w:b/>
          <w:u w:val="single"/>
        </w:rPr>
      </w:pPr>
      <w:r w:rsidRPr="00974CE6">
        <w:rPr>
          <w:b/>
          <w:u w:val="single"/>
        </w:rPr>
        <w:t>Rappel du contexte</w:t>
      </w:r>
    </w:p>
    <w:p w:rsidR="00A82851" w:rsidRDefault="00A82851" w:rsidP="008C368A">
      <w:pPr>
        <w:jc w:val="both"/>
      </w:pPr>
      <w:r>
        <w:t xml:space="preserve">En 2015, l’assurance </w:t>
      </w:r>
      <w:r w:rsidR="006B13F8">
        <w:t xml:space="preserve">des </w:t>
      </w:r>
      <w:r>
        <w:t>emprunteur</w:t>
      </w:r>
      <w:r w:rsidR="006B13F8">
        <w:t>s</w:t>
      </w:r>
      <w:r>
        <w:t xml:space="preserve"> représente un montant total de cotisations de l’ordre de </w:t>
      </w:r>
      <w:r w:rsidRPr="00A60961">
        <w:rPr>
          <w:b/>
        </w:rPr>
        <w:t>1,0</w:t>
      </w:r>
      <w:r>
        <w:t xml:space="preserve"> milliard d’euros d’après les chiffres publiés par la Fédération Française de l’Assurance (FFA).</w:t>
      </w:r>
    </w:p>
    <w:p w:rsidR="00373C1B" w:rsidRDefault="00077500" w:rsidP="008C368A">
      <w:pPr>
        <w:jc w:val="both"/>
      </w:pPr>
      <w:r w:rsidRPr="00373C1B">
        <w:t xml:space="preserve">Depuis la loi Hamon du 26 Juillet 2014, les emprunteurs ont la possibilité de </w:t>
      </w:r>
      <w:r w:rsidRPr="00A60961">
        <w:rPr>
          <w:b/>
        </w:rPr>
        <w:t>résilier ou de renégocier</w:t>
      </w:r>
      <w:r w:rsidRPr="00373C1B">
        <w:t xml:space="preserve"> leur contrat emprunteur pendant les </w:t>
      </w:r>
      <w:r w:rsidRPr="00A60961">
        <w:rPr>
          <w:b/>
        </w:rPr>
        <w:t>douze premiers mois de la signature du crédit</w:t>
      </w:r>
      <w:r w:rsidRPr="00373C1B">
        <w:t>. L’objectif de cette loi est de donner une plus grande latitude de choix pour l’emprunteur en</w:t>
      </w:r>
      <w:r w:rsidR="00E416AE" w:rsidRPr="00373C1B">
        <w:t xml:space="preserve"> lui permettant de résilier son contrat afin de pouvoir trouver un contrat d’assurance </w:t>
      </w:r>
      <w:r w:rsidR="00446E01">
        <w:t>aux</w:t>
      </w:r>
      <w:r w:rsidR="00E416AE" w:rsidRPr="00373C1B">
        <w:t xml:space="preserve"> garantie</w:t>
      </w:r>
      <w:r w:rsidR="00446E01">
        <w:t>s</w:t>
      </w:r>
      <w:r w:rsidR="00E416AE" w:rsidRPr="00373C1B">
        <w:t xml:space="preserve"> au moins équivalente</w:t>
      </w:r>
      <w:r w:rsidR="00446E01">
        <w:t>s</w:t>
      </w:r>
      <w:r w:rsidR="00E416AE" w:rsidRPr="00373C1B">
        <w:t xml:space="preserve"> auprès d’une autre compagnie que celle de la ban</w:t>
      </w:r>
      <w:r w:rsidR="005C7604">
        <w:t xml:space="preserve">que prêteuse. Cela </w:t>
      </w:r>
      <w:r w:rsidR="003211BE">
        <w:t>a également pour conséquence d’accentuer</w:t>
      </w:r>
      <w:r w:rsidR="005C7604">
        <w:t xml:space="preserve"> la concurrence entre les établissements bancaires.</w:t>
      </w:r>
    </w:p>
    <w:p w:rsidR="00373C1B" w:rsidRPr="00373C1B" w:rsidRDefault="00373C1B" w:rsidP="008C368A">
      <w:pPr>
        <w:pStyle w:val="Paragraphedeliste"/>
        <w:numPr>
          <w:ilvl w:val="0"/>
          <w:numId w:val="4"/>
        </w:numPr>
        <w:jc w:val="both"/>
        <w:rPr>
          <w:b/>
          <w:u w:val="single"/>
        </w:rPr>
      </w:pPr>
      <w:r w:rsidRPr="00373C1B">
        <w:rPr>
          <w:b/>
          <w:u w:val="single"/>
        </w:rPr>
        <w:t>Les chiffres de la délégation d’assurance</w:t>
      </w:r>
    </w:p>
    <w:p w:rsidR="00624F1D" w:rsidRDefault="007637CF" w:rsidP="008C368A">
      <w:pPr>
        <w:jc w:val="both"/>
      </w:pPr>
      <w:r>
        <w:t>Aujourd’hui, l</w:t>
      </w:r>
      <w:r w:rsidR="00A82851" w:rsidRPr="00373C1B">
        <w:t xml:space="preserve">a loi Hamon n’a </w:t>
      </w:r>
      <w:r w:rsidR="00373C1B">
        <w:t xml:space="preserve">toujours </w:t>
      </w:r>
      <w:r w:rsidR="00A82851" w:rsidRPr="00373C1B">
        <w:t xml:space="preserve">pas eu les effets escomptés et </w:t>
      </w:r>
      <w:r w:rsidR="00A82851" w:rsidRPr="00373C1B">
        <w:rPr>
          <w:b/>
        </w:rPr>
        <w:t>seuls 12 % des assurés ont recours à la délégation d’</w:t>
      </w:r>
      <w:r w:rsidR="009C26DB">
        <w:rPr>
          <w:b/>
        </w:rPr>
        <w:t>assurance</w:t>
      </w:r>
      <w:r w:rsidR="003B357A" w:rsidRPr="00373C1B">
        <w:t xml:space="preserve">. </w:t>
      </w:r>
      <w:r w:rsidR="00446E01">
        <w:t>Ce constat</w:t>
      </w:r>
      <w:r w:rsidR="005768D9" w:rsidRPr="00373C1B">
        <w:t xml:space="preserve"> </w:t>
      </w:r>
      <w:r w:rsidR="00975E5E">
        <w:t xml:space="preserve">résulte du </w:t>
      </w:r>
      <w:r w:rsidR="00975E5E" w:rsidRPr="00A60961">
        <w:rPr>
          <w:b/>
        </w:rPr>
        <w:t>manque d’information</w:t>
      </w:r>
      <w:r w:rsidR="00446E01">
        <w:rPr>
          <w:b/>
        </w:rPr>
        <w:t>s</w:t>
      </w:r>
      <w:r w:rsidR="00975E5E" w:rsidRPr="00A60961">
        <w:rPr>
          <w:b/>
        </w:rPr>
        <w:t xml:space="preserve"> des banques</w:t>
      </w:r>
      <w:r w:rsidR="00975E5E">
        <w:t xml:space="preserve"> vis à v</w:t>
      </w:r>
      <w:r>
        <w:t>i</w:t>
      </w:r>
      <w:r w:rsidR="00975E5E">
        <w:t xml:space="preserve">s de ses assurés emprunteurs. Cela </w:t>
      </w:r>
      <w:r w:rsidR="005768D9" w:rsidRPr="00373C1B">
        <w:t>s’explique</w:t>
      </w:r>
      <w:r w:rsidR="00373C1B" w:rsidRPr="00373C1B">
        <w:t xml:space="preserve"> </w:t>
      </w:r>
      <w:r w:rsidR="00975E5E">
        <w:t xml:space="preserve">par </w:t>
      </w:r>
      <w:r w:rsidR="005768D9" w:rsidRPr="00373C1B">
        <w:t xml:space="preserve">le fait que les </w:t>
      </w:r>
      <w:r w:rsidR="00373C1B" w:rsidRPr="00373C1B">
        <w:t>établissements bancaires</w:t>
      </w:r>
      <w:r w:rsidR="005768D9" w:rsidRPr="00373C1B">
        <w:t xml:space="preserve"> sont peu enclins à abandonner une source importante de </w:t>
      </w:r>
      <w:r w:rsidR="005768D9" w:rsidRPr="00A60961">
        <w:rPr>
          <w:b/>
        </w:rPr>
        <w:t>bénéfices</w:t>
      </w:r>
      <w:r w:rsidR="005768D9" w:rsidRPr="00373C1B">
        <w:t xml:space="preserve"> : en </w:t>
      </w:r>
      <w:r w:rsidR="00373C1B" w:rsidRPr="00373C1B">
        <w:t xml:space="preserve">effet, la partie assurance d’un crédit immobilier est celle sur laquelle les banques font le plus de </w:t>
      </w:r>
      <w:r w:rsidR="00373C1B" w:rsidRPr="00A60961">
        <w:rPr>
          <w:b/>
        </w:rPr>
        <w:t>marge</w:t>
      </w:r>
      <w:r w:rsidR="00373C1B" w:rsidRPr="00373C1B">
        <w:t xml:space="preserve">. </w:t>
      </w:r>
    </w:p>
    <w:p w:rsidR="00373C1B" w:rsidRDefault="002814E3" w:rsidP="008C368A">
      <w:pPr>
        <w:jc w:val="both"/>
      </w:pPr>
      <w:r>
        <w:t>De plus, le coût de l’assurance représente une part considérable du coût total d’</w:t>
      </w:r>
      <w:r w:rsidR="00E10471">
        <w:t xml:space="preserve">un crédit. </w:t>
      </w:r>
      <w:r>
        <w:t>Par exemple, p</w:t>
      </w:r>
      <w:r w:rsidR="00624F1D">
        <w:t xml:space="preserve">our un emprunt sur </w:t>
      </w:r>
      <w:r w:rsidR="00624F1D" w:rsidRPr="002814E3">
        <w:rPr>
          <w:b/>
        </w:rPr>
        <w:t>20 ans</w:t>
      </w:r>
      <w:r w:rsidR="00624F1D">
        <w:t xml:space="preserve"> d’un montant de </w:t>
      </w:r>
      <w:r w:rsidR="0067052F" w:rsidRPr="002814E3">
        <w:rPr>
          <w:b/>
        </w:rPr>
        <w:t>1</w:t>
      </w:r>
      <w:r w:rsidR="00624F1D" w:rsidRPr="002814E3">
        <w:rPr>
          <w:b/>
        </w:rPr>
        <w:t xml:space="preserve">50 000 </w:t>
      </w:r>
      <w:r w:rsidR="009A7B95" w:rsidRPr="002814E3">
        <w:rPr>
          <w:b/>
        </w:rPr>
        <w:t>€</w:t>
      </w:r>
      <w:r w:rsidR="009A7B95">
        <w:t>,</w:t>
      </w:r>
      <w:r w:rsidR="00624F1D">
        <w:t xml:space="preserve"> le coût de l’</w:t>
      </w:r>
      <w:r w:rsidR="009A7B95">
        <w:t xml:space="preserve">assurance </w:t>
      </w:r>
      <w:r w:rsidR="0067052F">
        <w:t xml:space="preserve">est de </w:t>
      </w:r>
      <w:r w:rsidR="0067052F" w:rsidRPr="002814E3">
        <w:rPr>
          <w:b/>
        </w:rPr>
        <w:t>10 800 €</w:t>
      </w:r>
      <w:r w:rsidR="0067052F">
        <w:t xml:space="preserve"> pour un coût total de crédit de l’ordre de </w:t>
      </w:r>
      <w:r w:rsidR="0067052F" w:rsidRPr="002814E3">
        <w:rPr>
          <w:b/>
        </w:rPr>
        <w:t>36 177 €</w:t>
      </w:r>
      <w:r w:rsidR="0067052F">
        <w:t xml:space="preserve">. Le coût de l’assurance représente donc près </w:t>
      </w:r>
      <w:r w:rsidR="0067052F">
        <w:rPr>
          <w:b/>
        </w:rPr>
        <w:t>30</w:t>
      </w:r>
      <w:r w:rsidR="009A7B95" w:rsidRPr="009A7B95">
        <w:rPr>
          <w:b/>
        </w:rPr>
        <w:t xml:space="preserve"> %</w:t>
      </w:r>
      <w:r w:rsidR="009A7B95">
        <w:t xml:space="preserve"> du coût total d’un </w:t>
      </w:r>
      <w:r w:rsidR="0067052F">
        <w:t>crédit.</w:t>
      </w:r>
    </w:p>
    <w:p w:rsidR="00E10471" w:rsidRDefault="00373C1B" w:rsidP="00624F1D">
      <w:pPr>
        <w:jc w:val="both"/>
      </w:pPr>
      <w:r>
        <w:t xml:space="preserve">Ainsi, le recours à la délégation d’assurance permettrait </w:t>
      </w:r>
      <w:r w:rsidR="008E5B77">
        <w:t xml:space="preserve">aux emprunteurs </w:t>
      </w:r>
      <w:r>
        <w:t>de</w:t>
      </w:r>
      <w:r w:rsidR="00923E0C">
        <w:t xml:space="preserve"> </w:t>
      </w:r>
      <w:r>
        <w:t>fa</w:t>
      </w:r>
      <w:r w:rsidR="00751785">
        <w:t xml:space="preserve">ire </w:t>
      </w:r>
      <w:r w:rsidR="00E5307E">
        <w:t xml:space="preserve">jouer la concurrence </w:t>
      </w:r>
      <w:r w:rsidR="00EB7B68">
        <w:t>et ainsi</w:t>
      </w:r>
      <w:r w:rsidR="00E5307E">
        <w:t xml:space="preserve"> </w:t>
      </w:r>
      <w:r w:rsidR="00EB7B68">
        <w:t xml:space="preserve">de faire </w:t>
      </w:r>
      <w:r w:rsidR="00751785">
        <w:t xml:space="preserve">des économies </w:t>
      </w:r>
      <w:r w:rsidR="002814E3">
        <w:t>en réduisant</w:t>
      </w:r>
      <w:r w:rsidR="00E5307E">
        <w:t xml:space="preserve"> probablement</w:t>
      </w:r>
      <w:r w:rsidR="002814E3">
        <w:t xml:space="preserve"> </w:t>
      </w:r>
      <w:r w:rsidR="00E10471">
        <w:t>le taux d’assurance.</w:t>
      </w:r>
    </w:p>
    <w:p w:rsidR="00EB7B68" w:rsidRDefault="00E10471" w:rsidP="00624F1D">
      <w:pPr>
        <w:jc w:val="both"/>
      </w:pPr>
      <w:r>
        <w:lastRenderedPageBreak/>
        <w:t>En reprenant l’exemple précédent,</w:t>
      </w:r>
      <w:r w:rsidR="002814E3">
        <w:t xml:space="preserve"> </w:t>
      </w:r>
      <w:r>
        <w:t xml:space="preserve">passer d’un taux de </w:t>
      </w:r>
      <w:r w:rsidRPr="0080368C">
        <w:rPr>
          <w:b/>
        </w:rPr>
        <w:t>0,3 %</w:t>
      </w:r>
      <w:r>
        <w:t xml:space="preserve"> à </w:t>
      </w:r>
      <w:r w:rsidRPr="0080368C">
        <w:rPr>
          <w:b/>
        </w:rPr>
        <w:t>0,1 %</w:t>
      </w:r>
      <w:r>
        <w:t xml:space="preserve"> </w:t>
      </w:r>
      <w:r w:rsidR="00EB7B68">
        <w:t>réduirait le</w:t>
      </w:r>
      <w:r>
        <w:t xml:space="preserve"> coût total du crédit </w:t>
      </w:r>
      <w:r w:rsidR="00E5307E">
        <w:t>de 7 800 €.</w:t>
      </w:r>
    </w:p>
    <w:p w:rsidR="00A82851" w:rsidRPr="00624F1D" w:rsidRDefault="00373C1B" w:rsidP="00624F1D">
      <w:pPr>
        <w:pStyle w:val="Paragraphedeliste"/>
        <w:numPr>
          <w:ilvl w:val="0"/>
          <w:numId w:val="3"/>
        </w:numPr>
        <w:jc w:val="both"/>
        <w:rPr>
          <w:b/>
          <w:u w:val="single"/>
        </w:rPr>
      </w:pPr>
      <w:r w:rsidRPr="00624F1D">
        <w:rPr>
          <w:b/>
          <w:u w:val="single"/>
        </w:rPr>
        <w:t>Des taux d’intérêts de plus en plus bas</w:t>
      </w:r>
    </w:p>
    <w:p w:rsidR="00241151" w:rsidRDefault="003A1C2F" w:rsidP="008C368A">
      <w:pPr>
        <w:jc w:val="both"/>
      </w:pPr>
      <w:r>
        <w:t>Du fait de la</w:t>
      </w:r>
      <w:r w:rsidR="00241151">
        <w:t xml:space="preserve"> politique monétaire de la Banque Centrale Européenne (BCE), l</w:t>
      </w:r>
      <w:r w:rsidR="00A64B34">
        <w:t xml:space="preserve">es taux d’intérêts poursuivent leur baisse atteignant des niveaux </w:t>
      </w:r>
      <w:r w:rsidR="00A64B34" w:rsidRPr="00A60961">
        <w:rPr>
          <w:b/>
        </w:rPr>
        <w:t>historiquement bas</w:t>
      </w:r>
      <w:r w:rsidR="00A64B34">
        <w:t xml:space="preserve">. Ils n’ont, de ce fait, jamais été aussi attractifs pour les </w:t>
      </w:r>
      <w:r w:rsidR="008D4109">
        <w:t>emprunteurs.</w:t>
      </w:r>
      <w:r w:rsidR="00241151">
        <w:t xml:space="preserve"> </w:t>
      </w:r>
    </w:p>
    <w:p w:rsidR="00241151" w:rsidRDefault="00241151" w:rsidP="008C368A">
      <w:pPr>
        <w:jc w:val="both"/>
      </w:pPr>
      <w:r>
        <w:t>En effet, la baisse des taux d’intérêts implique nécessairement une diminution du coût des crédits poussant alors les emprunteurs à renégocier leur contrat d’assurance.</w:t>
      </w:r>
      <w:r w:rsidR="008D4109">
        <w:t xml:space="preserve"> </w:t>
      </w:r>
      <w:r>
        <w:t xml:space="preserve">Selon la Banque de France, ces taux ne dépassaient pas en moyenne </w:t>
      </w:r>
      <w:r w:rsidRPr="00A60961">
        <w:rPr>
          <w:b/>
        </w:rPr>
        <w:t>1,86 %</w:t>
      </w:r>
      <w:r>
        <w:t xml:space="preserve"> en juin </w:t>
      </w:r>
      <w:r w:rsidR="00DF43E2">
        <w:t xml:space="preserve">2016 et même </w:t>
      </w:r>
      <w:r w:rsidR="00DF43E2" w:rsidRPr="00A60961">
        <w:rPr>
          <w:b/>
        </w:rPr>
        <w:t>1,48 %</w:t>
      </w:r>
      <w:r w:rsidR="00DF43E2">
        <w:t xml:space="preserve"> au mois d’août, </w:t>
      </w:r>
      <w:r>
        <w:t xml:space="preserve">contre </w:t>
      </w:r>
      <w:r w:rsidRPr="00A60961">
        <w:rPr>
          <w:b/>
        </w:rPr>
        <w:t xml:space="preserve">3,88 % </w:t>
      </w:r>
      <w:r>
        <w:t xml:space="preserve">en juin 2012. </w:t>
      </w:r>
    </w:p>
    <w:p w:rsidR="00821B58" w:rsidRDefault="00F7212F" w:rsidP="00821B58">
      <w:pPr>
        <w:keepNext/>
        <w:jc w:val="both"/>
      </w:pPr>
      <w:r w:rsidRPr="00F7212F">
        <w:rPr>
          <w:noProof/>
          <w:lang w:eastAsia="fr-FR"/>
        </w:rPr>
        <w:drawing>
          <wp:inline distT="0" distB="0" distL="0" distR="0" wp14:anchorId="040BD9BC" wp14:editId="55ACAFD4">
            <wp:extent cx="5760085" cy="2857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0819" cy="2862825"/>
                    </a:xfrm>
                    <a:prstGeom prst="rect">
                      <a:avLst/>
                    </a:prstGeom>
                    <a:noFill/>
                    <a:ln>
                      <a:noFill/>
                    </a:ln>
                  </pic:spPr>
                </pic:pic>
              </a:graphicData>
            </a:graphic>
          </wp:inline>
        </w:drawing>
      </w:r>
    </w:p>
    <w:p w:rsidR="00567C71" w:rsidRDefault="00821B58" w:rsidP="00821B58">
      <w:pPr>
        <w:pStyle w:val="Lgende"/>
        <w:jc w:val="center"/>
      </w:pPr>
      <w:r>
        <w:t>Figure 1 : Taux d'emprunts pour un crédit de durée supérieure à 10 ans</w:t>
      </w:r>
    </w:p>
    <w:p w:rsidR="00E559D5" w:rsidRDefault="00341B6F" w:rsidP="008C368A">
      <w:pPr>
        <w:jc w:val="both"/>
      </w:pPr>
      <w:r>
        <w:t xml:space="preserve">De plus, la baisse des taux a également pour conséquence une </w:t>
      </w:r>
      <w:r w:rsidR="00E559D5" w:rsidRPr="00E559D5">
        <w:rPr>
          <w:b/>
        </w:rPr>
        <w:t>diminution du coût de l’assurance</w:t>
      </w:r>
      <w:r w:rsidR="00E559D5">
        <w:t xml:space="preserve"> suivant le schéma suivant :</w:t>
      </w:r>
    </w:p>
    <w:p w:rsidR="00A83EC0" w:rsidRDefault="00273E9A" w:rsidP="00A83EC0">
      <w:pPr>
        <w:keepNext/>
        <w:jc w:val="both"/>
      </w:pPr>
      <w:r>
        <w:rPr>
          <w:noProof/>
          <w:lang w:eastAsia="fr-FR"/>
        </w:rPr>
        <w:lastRenderedPageBreak/>
        <w:drawing>
          <wp:inline distT="0" distB="0" distL="0" distR="0" wp14:anchorId="3C23FE3F" wp14:editId="4BDD87E2">
            <wp:extent cx="5760720" cy="322961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29610"/>
                    </a:xfrm>
                    <a:prstGeom prst="rect">
                      <a:avLst/>
                    </a:prstGeom>
                  </pic:spPr>
                </pic:pic>
              </a:graphicData>
            </a:graphic>
          </wp:inline>
        </w:drawing>
      </w:r>
    </w:p>
    <w:p w:rsidR="00E554EB" w:rsidRDefault="00A83EC0" w:rsidP="00A83EC0">
      <w:pPr>
        <w:pStyle w:val="Lgende"/>
        <w:jc w:val="center"/>
      </w:pPr>
      <w:r>
        <w:t>Figure 2</w:t>
      </w:r>
      <w:r>
        <w:rPr>
          <w:noProof/>
        </w:rPr>
        <w:t xml:space="preserve"> : La baisse des taux entraine une diminution du coût de l'assurance</w:t>
      </w:r>
    </w:p>
    <w:p w:rsidR="000A2EAC" w:rsidRDefault="000A2EAC" w:rsidP="00A83EC0">
      <w:pPr>
        <w:jc w:val="center"/>
      </w:pPr>
    </w:p>
    <w:p w:rsidR="00DF43E2" w:rsidRDefault="00241151" w:rsidP="008C368A">
      <w:pPr>
        <w:jc w:val="both"/>
      </w:pPr>
      <w:r>
        <w:t>Dans ce contexte,</w:t>
      </w:r>
      <w:r w:rsidR="00DF43E2">
        <w:t xml:space="preserve"> la renégociation de crédit a connu un fort </w:t>
      </w:r>
      <w:r w:rsidR="00DF43E2" w:rsidRPr="00A60961">
        <w:rPr>
          <w:b/>
        </w:rPr>
        <w:t>regain</w:t>
      </w:r>
      <w:r w:rsidR="00DF43E2">
        <w:t xml:space="preserve"> cet été : plus du tiers des crédits délivrés par les banques correspondaient, en juin, à du </w:t>
      </w:r>
      <w:r w:rsidR="00DF43E2" w:rsidRPr="00A60961">
        <w:rPr>
          <w:b/>
        </w:rPr>
        <w:t>rachat de crédit</w:t>
      </w:r>
      <w:r w:rsidR="00DF43E2">
        <w:t>.</w:t>
      </w:r>
    </w:p>
    <w:p w:rsidR="00DB1B01" w:rsidRDefault="00B84CBF" w:rsidP="008C368A">
      <w:pPr>
        <w:jc w:val="both"/>
        <w:rPr>
          <w:b/>
          <w:bCs/>
        </w:rPr>
      </w:pPr>
      <w:r>
        <w:t xml:space="preserve">Paradoxalement, il est intéressant de noter que le </w:t>
      </w:r>
      <w:r w:rsidRPr="00A60961">
        <w:rPr>
          <w:b/>
        </w:rPr>
        <w:t>taux d’endettement</w:t>
      </w:r>
      <w:r>
        <w:t xml:space="preserve"> est lui, en </w:t>
      </w:r>
      <w:r w:rsidRPr="00A60961">
        <w:rPr>
          <w:b/>
        </w:rPr>
        <w:t>constante progression</w:t>
      </w:r>
      <w:r>
        <w:t xml:space="preserve">. </w:t>
      </w:r>
      <w:r w:rsidRPr="00B84CBF">
        <w:t>Selon l’</w:t>
      </w:r>
      <w:hyperlink r:id="rId9" w:history="1">
        <w:r w:rsidRPr="00B84CBF">
          <w:t>Autorité de contrôle prudentiel et de résolution</w:t>
        </w:r>
      </w:hyperlink>
      <w:r w:rsidRPr="00B84CBF">
        <w:t>, </w:t>
      </w:r>
      <w:r w:rsidRPr="00B84CBF">
        <w:rPr>
          <w:bCs/>
        </w:rPr>
        <w:t>en 2004,</w:t>
      </w:r>
      <w:r w:rsidRPr="00B84CBF">
        <w:t> </w:t>
      </w:r>
      <w:r w:rsidRPr="00B84CBF">
        <w:rPr>
          <w:bCs/>
        </w:rPr>
        <w:t>l’endettement des Français pour un achat immobilier représentait</w:t>
      </w:r>
      <w:r w:rsidRPr="00B84CBF">
        <w:rPr>
          <w:b/>
          <w:bCs/>
        </w:rPr>
        <w:t xml:space="preserve"> 3 ans et 7 mois de revenus</w:t>
      </w:r>
      <w:r w:rsidRPr="00B84CBF">
        <w:t>. </w:t>
      </w:r>
      <w:r w:rsidRPr="00B84CBF">
        <w:rPr>
          <w:b/>
          <w:bCs/>
        </w:rPr>
        <w:t xml:space="preserve">En 2015, </w:t>
      </w:r>
      <w:r w:rsidRPr="00B84CBF">
        <w:rPr>
          <w:bCs/>
        </w:rPr>
        <w:t>il représente</w:t>
      </w:r>
      <w:r w:rsidRPr="00B84CBF">
        <w:rPr>
          <w:b/>
          <w:bCs/>
        </w:rPr>
        <w:t xml:space="preserve"> 4 ans et 4 mois</w:t>
      </w:r>
      <w:r>
        <w:rPr>
          <w:b/>
          <w:bCs/>
        </w:rPr>
        <w:t>.</w:t>
      </w:r>
    </w:p>
    <w:p w:rsidR="00B84CBF" w:rsidRPr="00273E9A" w:rsidRDefault="007637CF" w:rsidP="00273E9A">
      <w:pPr>
        <w:jc w:val="both"/>
        <w:rPr>
          <w:bCs/>
        </w:rPr>
      </w:pPr>
      <w:r>
        <w:rPr>
          <w:bCs/>
        </w:rPr>
        <w:t>Ce phénomène peut s’expliquer</w:t>
      </w:r>
      <w:r w:rsidR="00273E9A">
        <w:rPr>
          <w:bCs/>
        </w:rPr>
        <w:t xml:space="preserve"> par l’augmentation des montants d’emprunts contractés : </w:t>
      </w:r>
      <w:r w:rsidR="00B84CBF" w:rsidRPr="00273E9A">
        <w:rPr>
          <w:bCs/>
        </w:rPr>
        <w:t xml:space="preserve">le prix de l’immobilier étant en constante augmentation, les Français sont contraints d’emprunter des </w:t>
      </w:r>
      <w:r w:rsidR="00B84CBF" w:rsidRPr="00273E9A">
        <w:rPr>
          <w:b/>
          <w:bCs/>
        </w:rPr>
        <w:t>sommes</w:t>
      </w:r>
      <w:r w:rsidR="00A73D7C" w:rsidRPr="00273E9A">
        <w:rPr>
          <w:b/>
          <w:bCs/>
        </w:rPr>
        <w:t xml:space="preserve"> de plus en</w:t>
      </w:r>
      <w:r w:rsidR="00B84CBF" w:rsidRPr="00273E9A">
        <w:rPr>
          <w:b/>
          <w:bCs/>
        </w:rPr>
        <w:t xml:space="preserve"> plus conséquentes</w:t>
      </w:r>
      <w:r w:rsidR="00B84CBF" w:rsidRPr="00273E9A">
        <w:rPr>
          <w:bCs/>
        </w:rPr>
        <w:t xml:space="preserve"> : </w:t>
      </w:r>
      <w:r w:rsidR="00B84CBF" w:rsidRPr="00B84CBF">
        <w:t xml:space="preserve">en 2009, le montant moyen d’un crédit immobilier était de </w:t>
      </w:r>
      <w:r w:rsidR="00B84CBF" w:rsidRPr="00273E9A">
        <w:rPr>
          <w:b/>
        </w:rPr>
        <w:t>110 098 €</w:t>
      </w:r>
      <w:r w:rsidR="00B84CBF" w:rsidRPr="00273E9A">
        <w:rPr>
          <w:bCs/>
        </w:rPr>
        <w:t> </w:t>
      </w:r>
      <w:r w:rsidR="00B84CBF" w:rsidRPr="00B84CBF">
        <w:t xml:space="preserve">en 2015, il était de </w:t>
      </w:r>
      <w:r w:rsidR="00B84CBF" w:rsidRPr="00273E9A">
        <w:rPr>
          <w:b/>
        </w:rPr>
        <w:t>149 018 €.</w:t>
      </w:r>
      <w:bookmarkStart w:id="0" w:name="_GoBack"/>
      <w:bookmarkEnd w:id="0"/>
    </w:p>
    <w:p w:rsidR="00A73D7C" w:rsidRPr="000B768F" w:rsidRDefault="00A73D7C" w:rsidP="00273E9A">
      <w:pPr>
        <w:jc w:val="both"/>
      </w:pPr>
    </w:p>
    <w:sectPr w:rsidR="00A73D7C" w:rsidRPr="000B7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24pt" o:bullet="t">
        <v:imagedata r:id="rId1" o:title="favicongalea"/>
      </v:shape>
    </w:pict>
  </w:numPicBullet>
  <w:numPicBullet w:numPicBulletId="1">
    <w:pict>
      <v:shape id="_x0000_i1046" type="#_x0000_t75" style="width:15pt;height:14.25pt" o:bullet="t">
        <v:imagedata r:id="rId2" o:title="artFFBA"/>
      </v:shape>
    </w:pict>
  </w:numPicBullet>
  <w:abstractNum w:abstractNumId="0">
    <w:nsid w:val="0DD01A90"/>
    <w:multiLevelType w:val="hybridMultilevel"/>
    <w:tmpl w:val="1EA88914"/>
    <w:lvl w:ilvl="0" w:tplc="E69A41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E3ABC"/>
    <w:multiLevelType w:val="multilevel"/>
    <w:tmpl w:val="ED30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059FE"/>
    <w:multiLevelType w:val="hybridMultilevel"/>
    <w:tmpl w:val="96DAB8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0AA73ED"/>
    <w:multiLevelType w:val="hybridMultilevel"/>
    <w:tmpl w:val="01C072B0"/>
    <w:lvl w:ilvl="0" w:tplc="784EE89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52378E"/>
    <w:multiLevelType w:val="hybridMultilevel"/>
    <w:tmpl w:val="E9F058A0"/>
    <w:lvl w:ilvl="0" w:tplc="784EE89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8C1146"/>
    <w:multiLevelType w:val="hybridMultilevel"/>
    <w:tmpl w:val="DC9ABB36"/>
    <w:lvl w:ilvl="0" w:tplc="7D40622E">
      <w:start w:val="1"/>
      <w:numFmt w:val="bullet"/>
      <w:lvlText w:val=""/>
      <w:lvlPicBulletId w:val="1"/>
      <w:lvlJc w:val="left"/>
      <w:pPr>
        <w:tabs>
          <w:tab w:val="num" w:pos="720"/>
        </w:tabs>
        <w:ind w:left="720" w:hanging="360"/>
      </w:pPr>
      <w:rPr>
        <w:rFonts w:ascii="Symbol" w:hAnsi="Symbol" w:hint="default"/>
      </w:rPr>
    </w:lvl>
    <w:lvl w:ilvl="1" w:tplc="D3EC9738">
      <w:start w:val="1"/>
      <w:numFmt w:val="bullet"/>
      <w:lvlText w:val=""/>
      <w:lvlPicBulletId w:val="1"/>
      <w:lvlJc w:val="left"/>
      <w:pPr>
        <w:tabs>
          <w:tab w:val="num" w:pos="360"/>
        </w:tabs>
        <w:ind w:left="360" w:hanging="360"/>
      </w:pPr>
      <w:rPr>
        <w:rFonts w:ascii="Symbol" w:hAnsi="Symbol" w:hint="default"/>
      </w:rPr>
    </w:lvl>
    <w:lvl w:ilvl="2" w:tplc="B8482BDA">
      <w:start w:val="1"/>
      <w:numFmt w:val="bullet"/>
      <w:lvlText w:val=""/>
      <w:lvlPicBulletId w:val="1"/>
      <w:lvlJc w:val="left"/>
      <w:pPr>
        <w:tabs>
          <w:tab w:val="num" w:pos="2160"/>
        </w:tabs>
        <w:ind w:left="2160" w:hanging="360"/>
      </w:pPr>
      <w:rPr>
        <w:rFonts w:ascii="Symbol" w:hAnsi="Symbol" w:hint="default"/>
      </w:rPr>
    </w:lvl>
    <w:lvl w:ilvl="3" w:tplc="C0EA847C">
      <w:start w:val="1"/>
      <w:numFmt w:val="bullet"/>
      <w:lvlText w:val=""/>
      <w:lvlPicBulletId w:val="1"/>
      <w:lvlJc w:val="left"/>
      <w:pPr>
        <w:tabs>
          <w:tab w:val="num" w:pos="2880"/>
        </w:tabs>
        <w:ind w:left="2880" w:hanging="360"/>
      </w:pPr>
      <w:rPr>
        <w:rFonts w:ascii="Symbol" w:hAnsi="Symbol" w:hint="default"/>
      </w:rPr>
    </w:lvl>
    <w:lvl w:ilvl="4" w:tplc="FF3678CC" w:tentative="1">
      <w:start w:val="1"/>
      <w:numFmt w:val="bullet"/>
      <w:lvlText w:val=""/>
      <w:lvlPicBulletId w:val="1"/>
      <w:lvlJc w:val="left"/>
      <w:pPr>
        <w:tabs>
          <w:tab w:val="num" w:pos="3600"/>
        </w:tabs>
        <w:ind w:left="3600" w:hanging="360"/>
      </w:pPr>
      <w:rPr>
        <w:rFonts w:ascii="Symbol" w:hAnsi="Symbol" w:hint="default"/>
      </w:rPr>
    </w:lvl>
    <w:lvl w:ilvl="5" w:tplc="A47EEA78" w:tentative="1">
      <w:start w:val="1"/>
      <w:numFmt w:val="bullet"/>
      <w:lvlText w:val=""/>
      <w:lvlPicBulletId w:val="1"/>
      <w:lvlJc w:val="left"/>
      <w:pPr>
        <w:tabs>
          <w:tab w:val="num" w:pos="4320"/>
        </w:tabs>
        <w:ind w:left="4320" w:hanging="360"/>
      </w:pPr>
      <w:rPr>
        <w:rFonts w:ascii="Symbol" w:hAnsi="Symbol" w:hint="default"/>
      </w:rPr>
    </w:lvl>
    <w:lvl w:ilvl="6" w:tplc="80D85414" w:tentative="1">
      <w:start w:val="1"/>
      <w:numFmt w:val="bullet"/>
      <w:lvlText w:val=""/>
      <w:lvlPicBulletId w:val="1"/>
      <w:lvlJc w:val="left"/>
      <w:pPr>
        <w:tabs>
          <w:tab w:val="num" w:pos="5040"/>
        </w:tabs>
        <w:ind w:left="5040" w:hanging="360"/>
      </w:pPr>
      <w:rPr>
        <w:rFonts w:ascii="Symbol" w:hAnsi="Symbol" w:hint="default"/>
      </w:rPr>
    </w:lvl>
    <w:lvl w:ilvl="7" w:tplc="F16C3DF8" w:tentative="1">
      <w:start w:val="1"/>
      <w:numFmt w:val="bullet"/>
      <w:lvlText w:val=""/>
      <w:lvlPicBulletId w:val="1"/>
      <w:lvlJc w:val="left"/>
      <w:pPr>
        <w:tabs>
          <w:tab w:val="num" w:pos="5760"/>
        </w:tabs>
        <w:ind w:left="5760" w:hanging="360"/>
      </w:pPr>
      <w:rPr>
        <w:rFonts w:ascii="Symbol" w:hAnsi="Symbol" w:hint="default"/>
      </w:rPr>
    </w:lvl>
    <w:lvl w:ilvl="8" w:tplc="C444E1A8"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497007B8"/>
    <w:multiLevelType w:val="multilevel"/>
    <w:tmpl w:val="B16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65212"/>
    <w:multiLevelType w:val="hybridMultilevel"/>
    <w:tmpl w:val="CB8687C4"/>
    <w:lvl w:ilvl="0" w:tplc="2FEE2378">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8004B8"/>
    <w:multiLevelType w:val="hybridMultilevel"/>
    <w:tmpl w:val="0CA44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0E505C3"/>
    <w:multiLevelType w:val="multilevel"/>
    <w:tmpl w:val="6C0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565B8"/>
    <w:multiLevelType w:val="hybridMultilevel"/>
    <w:tmpl w:val="F3CA3DAA"/>
    <w:lvl w:ilvl="0" w:tplc="C3FE83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9A1514"/>
    <w:multiLevelType w:val="hybridMultilevel"/>
    <w:tmpl w:val="C8CE2E36"/>
    <w:lvl w:ilvl="0" w:tplc="784EE890">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10"/>
  </w:num>
  <w:num w:numId="6">
    <w:abstractNumId w:val="1"/>
  </w:num>
  <w:num w:numId="7">
    <w:abstractNumId w:val="6"/>
  </w:num>
  <w:num w:numId="8">
    <w:abstractNumId w:val="9"/>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C4"/>
    <w:rsid w:val="00026C79"/>
    <w:rsid w:val="000712E6"/>
    <w:rsid w:val="00072B05"/>
    <w:rsid w:val="000765BC"/>
    <w:rsid w:val="00077500"/>
    <w:rsid w:val="000A2EAC"/>
    <w:rsid w:val="000A7D30"/>
    <w:rsid w:val="000B5DA5"/>
    <w:rsid w:val="000B768F"/>
    <w:rsid w:val="000D4515"/>
    <w:rsid w:val="000E5B73"/>
    <w:rsid w:val="000E6E47"/>
    <w:rsid w:val="00151404"/>
    <w:rsid w:val="00152423"/>
    <w:rsid w:val="001617C4"/>
    <w:rsid w:val="00163A81"/>
    <w:rsid w:val="00180F40"/>
    <w:rsid w:val="00194776"/>
    <w:rsid w:val="001D1773"/>
    <w:rsid w:val="001D1986"/>
    <w:rsid w:val="001E6737"/>
    <w:rsid w:val="001E6A5F"/>
    <w:rsid w:val="001E6F08"/>
    <w:rsid w:val="001F3F14"/>
    <w:rsid w:val="00207093"/>
    <w:rsid w:val="00215AD3"/>
    <w:rsid w:val="00241151"/>
    <w:rsid w:val="00273E9A"/>
    <w:rsid w:val="002814E3"/>
    <w:rsid w:val="002A27AF"/>
    <w:rsid w:val="002A6749"/>
    <w:rsid w:val="002C67D0"/>
    <w:rsid w:val="002D22BA"/>
    <w:rsid w:val="003211BE"/>
    <w:rsid w:val="00325487"/>
    <w:rsid w:val="00341B6F"/>
    <w:rsid w:val="00373C1B"/>
    <w:rsid w:val="0038409F"/>
    <w:rsid w:val="0038610E"/>
    <w:rsid w:val="003A1C2F"/>
    <w:rsid w:val="003A434D"/>
    <w:rsid w:val="003A61F5"/>
    <w:rsid w:val="003B357A"/>
    <w:rsid w:val="003D7E60"/>
    <w:rsid w:val="003E1EE1"/>
    <w:rsid w:val="003E702B"/>
    <w:rsid w:val="003F1BC1"/>
    <w:rsid w:val="00411589"/>
    <w:rsid w:val="00412B5E"/>
    <w:rsid w:val="00446E01"/>
    <w:rsid w:val="00450BB1"/>
    <w:rsid w:val="004543F2"/>
    <w:rsid w:val="00457762"/>
    <w:rsid w:val="004A680F"/>
    <w:rsid w:val="004B17D3"/>
    <w:rsid w:val="004B42EF"/>
    <w:rsid w:val="004D4478"/>
    <w:rsid w:val="005117BA"/>
    <w:rsid w:val="00523753"/>
    <w:rsid w:val="00541A3B"/>
    <w:rsid w:val="00553F9A"/>
    <w:rsid w:val="0055437F"/>
    <w:rsid w:val="00566B9E"/>
    <w:rsid w:val="00567C71"/>
    <w:rsid w:val="00571AA7"/>
    <w:rsid w:val="005768D9"/>
    <w:rsid w:val="005B1DBE"/>
    <w:rsid w:val="005B6DE2"/>
    <w:rsid w:val="005C722E"/>
    <w:rsid w:val="005C7604"/>
    <w:rsid w:val="00604540"/>
    <w:rsid w:val="00615500"/>
    <w:rsid w:val="00624F1D"/>
    <w:rsid w:val="0063178B"/>
    <w:rsid w:val="00637854"/>
    <w:rsid w:val="00637E78"/>
    <w:rsid w:val="0067052F"/>
    <w:rsid w:val="00670A69"/>
    <w:rsid w:val="00672672"/>
    <w:rsid w:val="006A2406"/>
    <w:rsid w:val="006B13F8"/>
    <w:rsid w:val="006B150B"/>
    <w:rsid w:val="006C0CFD"/>
    <w:rsid w:val="006C6AEB"/>
    <w:rsid w:val="006E1514"/>
    <w:rsid w:val="006E4C15"/>
    <w:rsid w:val="006E6EFC"/>
    <w:rsid w:val="00712056"/>
    <w:rsid w:val="00731142"/>
    <w:rsid w:val="00751785"/>
    <w:rsid w:val="007637CF"/>
    <w:rsid w:val="007C0538"/>
    <w:rsid w:val="007C47F7"/>
    <w:rsid w:val="0080368C"/>
    <w:rsid w:val="00821B58"/>
    <w:rsid w:val="00842D80"/>
    <w:rsid w:val="0089580F"/>
    <w:rsid w:val="008A45B8"/>
    <w:rsid w:val="008B2BC6"/>
    <w:rsid w:val="008C2616"/>
    <w:rsid w:val="008C368A"/>
    <w:rsid w:val="008D4109"/>
    <w:rsid w:val="008D5A88"/>
    <w:rsid w:val="008D71CE"/>
    <w:rsid w:val="008E2F9D"/>
    <w:rsid w:val="008E5B77"/>
    <w:rsid w:val="00922552"/>
    <w:rsid w:val="00923E0C"/>
    <w:rsid w:val="00974CE6"/>
    <w:rsid w:val="00975E5E"/>
    <w:rsid w:val="009938F1"/>
    <w:rsid w:val="009A7B95"/>
    <w:rsid w:val="009C0C78"/>
    <w:rsid w:val="009C26DB"/>
    <w:rsid w:val="009C7ACD"/>
    <w:rsid w:val="009C7D7C"/>
    <w:rsid w:val="009D7CB4"/>
    <w:rsid w:val="009F5BB5"/>
    <w:rsid w:val="00A0414C"/>
    <w:rsid w:val="00A2321D"/>
    <w:rsid w:val="00A524BB"/>
    <w:rsid w:val="00A53745"/>
    <w:rsid w:val="00A60961"/>
    <w:rsid w:val="00A64576"/>
    <w:rsid w:val="00A64B34"/>
    <w:rsid w:val="00A66B0E"/>
    <w:rsid w:val="00A73D7C"/>
    <w:rsid w:val="00A82851"/>
    <w:rsid w:val="00A83277"/>
    <w:rsid w:val="00A83EC0"/>
    <w:rsid w:val="00AB48AF"/>
    <w:rsid w:val="00B034EE"/>
    <w:rsid w:val="00B101F5"/>
    <w:rsid w:val="00B504AA"/>
    <w:rsid w:val="00B805E0"/>
    <w:rsid w:val="00B84CBF"/>
    <w:rsid w:val="00BA6ACC"/>
    <w:rsid w:val="00BB380A"/>
    <w:rsid w:val="00BC0024"/>
    <w:rsid w:val="00BF12C1"/>
    <w:rsid w:val="00C10A95"/>
    <w:rsid w:val="00C2291A"/>
    <w:rsid w:val="00C26E19"/>
    <w:rsid w:val="00C67EF3"/>
    <w:rsid w:val="00C97F02"/>
    <w:rsid w:val="00CA6A9C"/>
    <w:rsid w:val="00CB4E80"/>
    <w:rsid w:val="00CC0D11"/>
    <w:rsid w:val="00CE0ED4"/>
    <w:rsid w:val="00D05D82"/>
    <w:rsid w:val="00D34062"/>
    <w:rsid w:val="00D45FA6"/>
    <w:rsid w:val="00DA079C"/>
    <w:rsid w:val="00DA5F03"/>
    <w:rsid w:val="00DB1B01"/>
    <w:rsid w:val="00DB6F3F"/>
    <w:rsid w:val="00DF43E2"/>
    <w:rsid w:val="00E10471"/>
    <w:rsid w:val="00E20878"/>
    <w:rsid w:val="00E271F5"/>
    <w:rsid w:val="00E374E4"/>
    <w:rsid w:val="00E416AE"/>
    <w:rsid w:val="00E5307E"/>
    <w:rsid w:val="00E53A6B"/>
    <w:rsid w:val="00E554EB"/>
    <w:rsid w:val="00E559D5"/>
    <w:rsid w:val="00E93D32"/>
    <w:rsid w:val="00EA0C41"/>
    <w:rsid w:val="00EB616C"/>
    <w:rsid w:val="00EB7B68"/>
    <w:rsid w:val="00EC0F12"/>
    <w:rsid w:val="00EC17D1"/>
    <w:rsid w:val="00ED62B3"/>
    <w:rsid w:val="00EE434D"/>
    <w:rsid w:val="00EE5374"/>
    <w:rsid w:val="00F1640A"/>
    <w:rsid w:val="00F21C05"/>
    <w:rsid w:val="00F32D8A"/>
    <w:rsid w:val="00F44673"/>
    <w:rsid w:val="00F57FBF"/>
    <w:rsid w:val="00F62D81"/>
    <w:rsid w:val="00F7212F"/>
    <w:rsid w:val="00F74459"/>
    <w:rsid w:val="00F75A77"/>
    <w:rsid w:val="00F84CAC"/>
    <w:rsid w:val="00F87F8F"/>
    <w:rsid w:val="00F96B84"/>
    <w:rsid w:val="00FA6590"/>
    <w:rsid w:val="00FF6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1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17C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617C4"/>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6A24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406"/>
    <w:rPr>
      <w:rFonts w:ascii="Segoe UI" w:hAnsi="Segoe UI" w:cs="Segoe UI"/>
      <w:sz w:val="18"/>
      <w:szCs w:val="18"/>
    </w:rPr>
  </w:style>
  <w:style w:type="character" w:styleId="Accentuation">
    <w:name w:val="Emphasis"/>
    <w:basedOn w:val="Policepardfaut"/>
    <w:uiPriority w:val="20"/>
    <w:qFormat/>
    <w:rsid w:val="00DA079C"/>
    <w:rPr>
      <w:i/>
      <w:iCs/>
    </w:rPr>
  </w:style>
  <w:style w:type="paragraph" w:styleId="Paragraphedeliste">
    <w:name w:val="List Paragraph"/>
    <w:basedOn w:val="Normal"/>
    <w:uiPriority w:val="34"/>
    <w:qFormat/>
    <w:rsid w:val="006E6EFC"/>
    <w:pPr>
      <w:ind w:left="720"/>
      <w:contextualSpacing/>
    </w:pPr>
  </w:style>
  <w:style w:type="character" w:styleId="Lienhypertexte">
    <w:name w:val="Hyperlink"/>
    <w:basedOn w:val="Policepardfaut"/>
    <w:uiPriority w:val="99"/>
    <w:semiHidden/>
    <w:unhideWhenUsed/>
    <w:rsid w:val="00373C1B"/>
    <w:rPr>
      <w:color w:val="0000FF"/>
      <w:u w:val="single"/>
    </w:rPr>
  </w:style>
  <w:style w:type="character" w:customStyle="1" w:styleId="apple-converted-space">
    <w:name w:val="apple-converted-space"/>
    <w:basedOn w:val="Policepardfaut"/>
    <w:rsid w:val="00373C1B"/>
  </w:style>
  <w:style w:type="paragraph" w:styleId="NormalWeb">
    <w:name w:val="Normal (Web)"/>
    <w:basedOn w:val="Normal"/>
    <w:uiPriority w:val="99"/>
    <w:semiHidden/>
    <w:unhideWhenUsed/>
    <w:rsid w:val="00373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4CBF"/>
    <w:rPr>
      <w:b/>
      <w:bCs/>
    </w:rPr>
  </w:style>
  <w:style w:type="paragraph" w:styleId="Lgende">
    <w:name w:val="caption"/>
    <w:basedOn w:val="Normal"/>
    <w:next w:val="Normal"/>
    <w:uiPriority w:val="35"/>
    <w:unhideWhenUsed/>
    <w:qFormat/>
    <w:rsid w:val="00821B58"/>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1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17C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617C4"/>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6A24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406"/>
    <w:rPr>
      <w:rFonts w:ascii="Segoe UI" w:hAnsi="Segoe UI" w:cs="Segoe UI"/>
      <w:sz w:val="18"/>
      <w:szCs w:val="18"/>
    </w:rPr>
  </w:style>
  <w:style w:type="character" w:styleId="Accentuation">
    <w:name w:val="Emphasis"/>
    <w:basedOn w:val="Policepardfaut"/>
    <w:uiPriority w:val="20"/>
    <w:qFormat/>
    <w:rsid w:val="00DA079C"/>
    <w:rPr>
      <w:i/>
      <w:iCs/>
    </w:rPr>
  </w:style>
  <w:style w:type="paragraph" w:styleId="Paragraphedeliste">
    <w:name w:val="List Paragraph"/>
    <w:basedOn w:val="Normal"/>
    <w:uiPriority w:val="34"/>
    <w:qFormat/>
    <w:rsid w:val="006E6EFC"/>
    <w:pPr>
      <w:ind w:left="720"/>
      <w:contextualSpacing/>
    </w:pPr>
  </w:style>
  <w:style w:type="character" w:styleId="Lienhypertexte">
    <w:name w:val="Hyperlink"/>
    <w:basedOn w:val="Policepardfaut"/>
    <w:uiPriority w:val="99"/>
    <w:semiHidden/>
    <w:unhideWhenUsed/>
    <w:rsid w:val="00373C1B"/>
    <w:rPr>
      <w:color w:val="0000FF"/>
      <w:u w:val="single"/>
    </w:rPr>
  </w:style>
  <w:style w:type="character" w:customStyle="1" w:styleId="apple-converted-space">
    <w:name w:val="apple-converted-space"/>
    <w:basedOn w:val="Policepardfaut"/>
    <w:rsid w:val="00373C1B"/>
  </w:style>
  <w:style w:type="paragraph" w:styleId="NormalWeb">
    <w:name w:val="Normal (Web)"/>
    <w:basedOn w:val="Normal"/>
    <w:uiPriority w:val="99"/>
    <w:semiHidden/>
    <w:unhideWhenUsed/>
    <w:rsid w:val="00373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4CBF"/>
    <w:rPr>
      <w:b/>
      <w:bCs/>
    </w:rPr>
  </w:style>
  <w:style w:type="paragraph" w:styleId="Lgende">
    <w:name w:val="caption"/>
    <w:basedOn w:val="Normal"/>
    <w:next w:val="Normal"/>
    <w:uiPriority w:val="35"/>
    <w:unhideWhenUsed/>
    <w:qFormat/>
    <w:rsid w:val="00821B5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sfurets.com/assurance/guide/quel-est-le-role-de-lautorite-de-controle-prudentiel-et-de-resolutionacp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5F06-F622-4A0E-9EEF-52ADDFB5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6920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ATTIAS</dc:creator>
  <cp:lastModifiedBy>fmaitre</cp:lastModifiedBy>
  <cp:revision>2</cp:revision>
  <cp:lastPrinted>2016-09-19T16:58:00Z</cp:lastPrinted>
  <dcterms:created xsi:type="dcterms:W3CDTF">2016-09-19T17:09:00Z</dcterms:created>
  <dcterms:modified xsi:type="dcterms:W3CDTF">2016-09-19T17:09:00Z</dcterms:modified>
</cp:coreProperties>
</file>